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Приложение №1 к Д</w:t>
      </w:r>
      <w:bookmarkStart w:id="0" w:name="_GoBack"/>
      <w:r/>
      <w:bookmarkEnd w:id="0"/>
      <w:r>
        <w:rPr>
          <w:rFonts w:ascii="Times New Roman" w:hAnsi="Times New Roman"/>
          <w:sz w:val="20"/>
          <w:szCs w:val="20"/>
        </w:rPr>
        <w:t xml:space="preserve">оговору подряда №</w:t>
      </w:r>
      <w:r>
        <w:rPr>
          <w:rFonts w:ascii="Times New Roman" w:hAnsi="Times New Roman"/>
          <w:sz w:val="20"/>
          <w:szCs w:val="20"/>
        </w:rPr>
        <w:t xml:space="preserve">________от__________2025 г.</w:t>
      </w:r>
      <w:r>
        <w:rPr>
          <w:rFonts w:ascii="Times New Roman" w:hAnsi="Times New Roman"/>
          <w:color w:val="ffffff"/>
          <w:sz w:val="20"/>
          <w:szCs w:val="20"/>
        </w:rPr>
        <w:t xml:space="preserve">____/</w:t>
      </w:r>
      <w:r>
        <w:rPr>
          <w:rFonts w:ascii="Times New Roman" w:hAnsi="Times New Roman"/>
          <w:color w:val="ffffff"/>
          <w:sz w:val="24"/>
          <w:szCs w:val="24"/>
        </w:rPr>
        <w:t xml:space="preserve">АТ-24 от ___.___.2024</w:t>
      </w:r>
      <w:r>
        <w:rPr>
          <w:rFonts w:ascii="Times New Roman" w:hAnsi="Times New Roman"/>
          <w:color w:val="ffffff"/>
          <w:sz w:val="24"/>
          <w:szCs w:val="24"/>
        </w:rPr>
      </w:r>
      <w:r>
        <w:rPr>
          <w:rFonts w:ascii="Times New Roman" w:hAnsi="Times New Roman"/>
          <w:color w:val="ffffff"/>
          <w:sz w:val="24"/>
          <w:szCs w:val="24"/>
        </w:rPr>
      </w:r>
    </w:p>
    <w:p>
      <w:pPr>
        <w:jc w:val="center"/>
        <w:spacing w:after="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</w:rPr>
        <w:t xml:space="preserve">ОКПД2 43.39.19.190 Выполнение ремонтных работ помещений Исполнительного аппарата расположенных по адресу: г. Хабаровск, ул. Фрунзе, 49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23"/>
        <w:numPr>
          <w:ilvl w:val="0"/>
          <w:numId w:val="2"/>
        </w:numPr>
        <w:jc w:val="both"/>
        <w:spacing w:line="264" w:lineRule="auto"/>
        <w:tabs>
          <w:tab w:val="left" w:pos="1134" w:leader="none"/>
        </w:tabs>
      </w:pPr>
      <w:r>
        <w:rPr>
          <w:lang w:eastAsia="zh-CN"/>
        </w:rPr>
        <w:t xml:space="preserve">Требования к выполнению работ</w:t>
      </w:r>
      <w:r/>
    </w:p>
    <w:p>
      <w:pPr>
        <w:pStyle w:val="923"/>
        <w:jc w:val="both"/>
        <w:spacing w:line="264" w:lineRule="auto"/>
        <w:tabs>
          <w:tab w:val="left" w:pos="1134" w:leader="none"/>
        </w:tabs>
      </w:pPr>
      <w:r>
        <w:t xml:space="preserve">1.1. Общие требования к выполнению работ</w:t>
      </w:r>
      <w:r/>
    </w:p>
    <w:p>
      <w:pPr>
        <w:pStyle w:val="923"/>
        <w:numPr>
          <w:ilvl w:val="2"/>
          <w:numId w:val="3"/>
        </w:numPr>
        <w:ind w:left="0" w:firstLine="720"/>
        <w:jc w:val="both"/>
        <w:spacing w:line="264" w:lineRule="auto"/>
        <w:tabs>
          <w:tab w:val="left" w:pos="1134" w:leader="none"/>
        </w:tabs>
      </w:pPr>
      <w:r>
        <w:rPr>
          <w:iCs/>
          <w:highlight w:val="white"/>
        </w:rPr>
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</w:r>
      <w:r/>
    </w:p>
    <w:p>
      <w:pPr>
        <w:pStyle w:val="747"/>
        <w:numPr>
          <w:ilvl w:val="0"/>
          <w:numId w:val="5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Правила организации технического обслуживания и ремонта объектов электроэнергетики (приказ </w:t>
      </w:r>
      <w:r>
        <w:rPr>
          <w:rFonts w:ascii="Times New Roman" w:hAnsi="Times New Roman" w:eastAsia="Times New Roman"/>
          <w:sz w:val="24"/>
          <w:szCs w:val="24"/>
        </w:rPr>
        <w:t xml:space="preserve">МинЭнерго</w:t>
      </w:r>
      <w:r>
        <w:rPr>
          <w:rFonts w:ascii="Times New Roman" w:hAnsi="Times New Roman" w:eastAsia="Times New Roman"/>
          <w:sz w:val="24"/>
          <w:szCs w:val="24"/>
        </w:rPr>
        <w:t xml:space="preserve"> России от 25.10.2017 №1013);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5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12.10.2022 №587);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6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СНиП 12-01-2004 (СП 48.13330.2019) Свод правил. Организация строительства;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6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8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8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РД 153-34.0-21.601-98 «Типовая инструкция по эксплуатации производственных </w:t>
      </w:r>
      <w:r>
        <w:rPr>
          <w:rFonts w:ascii="Times New Roman" w:hAnsi="Times New Roman"/>
          <w:bCs/>
          <w:sz w:val="24"/>
          <w:szCs w:val="24"/>
        </w:rPr>
        <w:t xml:space="preserve">зданий  и</w:t>
      </w:r>
      <w:r>
        <w:rPr>
          <w:rFonts w:ascii="Times New Roman" w:hAnsi="Times New Roman"/>
          <w:bCs/>
          <w:sz w:val="24"/>
          <w:szCs w:val="24"/>
        </w:rPr>
        <w:t xml:space="preserve"> сооружений энергопредприятия. Часть 2, раздел 2. Технология ремонтов зданий и сооружений»;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8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 71.13330.2017 Изоляционные и отделочные покрытия Актуализированная редакция СНиП 3.04.01-87;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6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СП 72.13330.2016. Свод правил. Защита строительных конструкций и сооружений от коррозии. СНиП 3.04.03-85" (ред. от 28.01.2019)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6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СП 68.13330.2017 «Приемка в эксплуатацию законченных строительством объектов» ред. от 10.12.2019;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6"/>
        </w:numPr>
        <w:ind w:hanging="11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ВСН 214-82 Сборник инструкций по защите от коррозий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7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Положение «Об о</w:t>
      </w:r>
      <w:r>
        <w:rPr>
          <w:rFonts w:ascii="Times New Roman" w:hAnsi="Times New Roman" w:eastAsia="Times New Roman"/>
          <w:sz w:val="24"/>
          <w:szCs w:val="24"/>
        </w:rPr>
        <w:t xml:space="preserve">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29.11.2019 №555)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9"/>
        </w:numPr>
        <w:ind w:left="0" w:firstLine="709"/>
        <w:jc w:val="both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Технические условия, технологические карты и проекты производства работ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ind w:left="0" w:firstLine="709"/>
        <w:jc w:val="both"/>
        <w:spacing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23"/>
        <w:ind w:left="0" w:firstLine="709"/>
        <w:jc w:val="both"/>
        <w:spacing w:line="264" w:lineRule="auto"/>
        <w:tabs>
          <w:tab w:val="left" w:pos="1134" w:leader="none"/>
        </w:tabs>
      </w:pPr>
      <w:r>
        <w:t xml:space="preserve">1.2. Т</w:t>
      </w:r>
      <w:r>
        <w:rPr>
          <w:highlight w:val="white"/>
        </w:rPr>
        <w:t xml:space="preserve">ребования к организации работ</w:t>
      </w:r>
      <w:r/>
    </w:p>
    <w:p>
      <w:pPr>
        <w:pStyle w:val="923"/>
        <w:jc w:val="both"/>
        <w:spacing w:line="264" w:lineRule="auto"/>
        <w:tabs>
          <w:tab w:val="left" w:pos="1134" w:leader="none"/>
        </w:tabs>
      </w:pPr>
      <w:r>
        <w:t xml:space="preserve">1.2.1. </w:t>
      </w:r>
      <w:r>
        <w:rPr>
          <w:highlight w:val="white"/>
        </w:rPr>
        <w:t xml:space="preserve">Требования к организации процесса выполнения работ:</w:t>
      </w:r>
      <w:r/>
    </w:p>
    <w:p>
      <w:pPr>
        <w:ind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ально-технических и трудовые ресурсов. Подрядчик разрабатывает план подготовки к ремонту в соответствии с планами производственных объектов, принятым к исполнению объемом работ и согласованным участием в материально–техническом обеспечении ремонтных работ.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Изменения объемов работ, предусмотренных ведомостью планируемых работ, оформляются в соответствии с требованиями Правил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ТОиР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(ведомостью дополнительных работ по ремонту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Заказчика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, ответст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До начала ремонта Подрядчик: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20"/>
        </w:numPr>
        <w:ind w:left="0"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проводит проверку выполнения подготовительных работ в соответствии с планом подготовки к ремонту.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20"/>
        </w:numPr>
        <w:ind w:left="0"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сроков производства работ;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20"/>
        </w:numPr>
        <w:ind w:left="0"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20"/>
        </w:numPr>
        <w:ind w:left="0"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20"/>
        </w:numPr>
        <w:ind w:left="0"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проверяет удостоверения стропальщиков, крановщиков и лиц других специальностей на право выполнения работ при ремонте;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20"/>
        </w:numPr>
        <w:ind w:left="0" w:firstLine="709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проверяет выполнение требований допуска ремонтного и командированного персонала, предусмотренного п. 1.2.2 </w:t>
      </w:r>
      <w:r>
        <w:rPr>
          <w:rFonts w:ascii="Times New Roman" w:hAnsi="Times New Roman"/>
          <w:bCs/>
          <w:sz w:val="24"/>
          <w:szCs w:val="24"/>
        </w:rPr>
        <w:t xml:space="preserve">настоящего Технического задания.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1.2.2. </w:t>
      </w:r>
      <w:r>
        <w:rPr>
          <w:rFonts w:ascii="Times New Roman" w:hAnsi="Times New Roman"/>
          <w:sz w:val="24"/>
          <w:szCs w:val="24"/>
          <w:highlight w:val="white"/>
        </w:rPr>
        <w:t xml:space="preserve">Организационно-технические мероприятия по допуску персонала подрядчика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Допуск персонала подрядчика для выполнения работ должен осуществляться в соответствии с: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0"/>
        </w:numPr>
        <w:ind w:left="0" w:firstLine="709"/>
        <w:jc w:val="both"/>
        <w:spacing w:after="0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Положением о допуске персонала подрядных организаций к выполнению работ на объектах АО «ДГК» №22.1-504-2023 (утверждено приказ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ом АО «ДГК» №534 от 28.07.2023)</w:t>
      </w:r>
      <w:r>
        <w:rPr>
          <w:rFonts w:ascii="Times New Roman" w:hAnsi="Times New Roman"/>
          <w:bCs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before="159" w:after="0" w:line="264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Требования к используемым МТР, контролю качества работ и МТР.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1.3.1. Требования к используемым материально-техническим ресурсам.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Материалы, необходимые для выполнения работ приобретаются Подрядчиком.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tabs>
          <w:tab w:val="left" w:pos="406" w:leader="none"/>
        </w:tabs>
        <w:rPr>
          <w:rFonts w:ascii="Times New Roman" w:hAnsi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Матер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иалы, приобретаемые Подрядчиком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должны быть н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овыми и ранее не использованными, без повреждений. Подрядчиком в работе могут быть применены эквивалентные материалы (Эквивалентная продукция - это продукция, которая по техническим и функциональным характеристикам не уступает характеристикам, указанных в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перечне материалов Подрядчика и технической документации</w:t>
      </w:r>
      <w:r>
        <w:rPr>
          <w:rFonts w:ascii="Times New Roman" w:hAnsi="Times New Roman"/>
          <w:bCs/>
          <w:sz w:val="24"/>
          <w:szCs w:val="24"/>
        </w:rPr>
        <w:t xml:space="preserve">)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, предварительно согласованные с Заказчиком.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406" w:leader="none"/>
        </w:tabs>
        <w:rPr>
          <w:rFonts w:ascii="Times New Roman" w:hAnsi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406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* Эквивалентная продукция –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spacing w:before="170"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1.3.2. Контроль качества используемых материалов.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работ Подрядчика осуществляют входной контроль качества применяемых материалов и запасных частей.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Материалы Подрядчика должны иметь сертификаты, паспорта и другие документы, подтверждающие их качество.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</w:t>
      </w:r>
      <w:r>
        <w:rPr>
          <w:rFonts w:ascii="Times New Roman" w:hAnsi="Times New Roman"/>
          <w:sz w:val="24"/>
          <w:szCs w:val="24"/>
        </w:rPr>
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1.3.3. Контроль качества работ.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законом № 184-ФЗ «О техническом регулировании» Подрядчик принимает на себя добровольное обязательство о</w:t>
      </w:r>
      <w:r>
        <w:rPr>
          <w:rFonts w:ascii="Times New Roman" w:hAnsi="Times New Roman"/>
          <w:sz w:val="24"/>
          <w:szCs w:val="24"/>
        </w:rPr>
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работ Подрядчика, участвую</w:t>
      </w:r>
      <w:r>
        <w:rPr>
          <w:rFonts w:ascii="Times New Roman" w:hAnsi="Times New Roman"/>
          <w:sz w:val="24"/>
          <w:szCs w:val="24"/>
        </w:rPr>
        <w:t xml:space="preserve">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before="159"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1.4. Требования к персоналу Подрядчика.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1.4.1. Квалификация персонала Подрядчика, привлекаемого к выполнению работ.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Подрядчик должен иметь минимально необходимое для выполнени</w:t>
      </w:r>
      <w:r>
        <w:rPr>
          <w:rFonts w:ascii="Times New Roman" w:hAnsi="Times New Roman"/>
          <w:sz w:val="24"/>
          <w:szCs w:val="24"/>
          <w:highlight w:val="white"/>
        </w:rPr>
        <w:t xml:space="preserve">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До начала проведения работ в рамках исполнения договора после его заключения подрядчик предоставляет: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4"/>
        </w:numPr>
        <w:ind w:left="0" w:firstLine="709"/>
        <w:jc w:val="both"/>
        <w:spacing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</w:rPr>
        <w:t xml:space="preserve">список персонала с указанием сведений о к</w:t>
      </w:r>
      <w:r>
        <w:rPr>
          <w:rFonts w:ascii="Times New Roman" w:hAnsi="Times New Roman"/>
          <w:bCs/>
          <w:sz w:val="24"/>
          <w:szCs w:val="24"/>
        </w:rPr>
        <w:t xml:space="preserve">валификации персонала, разряде и группе по электробезопасности с приложением копий удостоверений на производство специальных видов работ (огневых, электросварочных, грузоподъемных, работ с электро- и пневмоинструментом) (возможно совмещение специальностей)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9"/>
        <w:jc w:val="both"/>
        <w:spacing w:before="159" w:after="0" w:line="264" w:lineRule="auto"/>
      </w:pPr>
      <w:r>
        <w:rPr>
          <w:rFonts w:ascii="Times New Roman" w:hAnsi="Times New Roman"/>
          <w:bCs/>
          <w:sz w:val="24"/>
          <w:szCs w:val="24"/>
        </w:rPr>
        <w:t xml:space="preserve">1.5. Требования к безопасности работ и охране труда.</w:t>
      </w:r>
      <w:r/>
    </w:p>
    <w:p>
      <w:pPr>
        <w:ind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1.5.1. </w:t>
      </w:r>
      <w:r>
        <w:rPr>
          <w:rFonts w:ascii="Times New Roman" w:hAnsi="Times New Roman"/>
          <w:sz w:val="24"/>
          <w:szCs w:val="24"/>
          <w:highlight w:val="white"/>
        </w:rPr>
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1"/>
        </w:numPr>
        <w:ind w:left="0"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1"/>
        </w:numPr>
        <w:ind w:left="0"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1.5.2. </w:t>
      </w:r>
      <w:r>
        <w:rPr>
          <w:rFonts w:ascii="Times New Roman" w:hAnsi="Times New Roman"/>
          <w:sz w:val="24"/>
          <w:szCs w:val="24"/>
          <w:highlight w:val="white"/>
        </w:rPr>
        <w:t xml:space="preserve">Соблюдение требований пожарной безопасности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2"/>
        </w:numPr>
        <w:ind w:left="0" w:firstLine="709"/>
        <w:jc w:val="both"/>
        <w:spacing w:after="0" w:line="233" w:lineRule="auto"/>
        <w:shd w:val="clear" w:color="auto" w:fill="ffff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Правила противопожарного режима в Российской Федерации, утверждены Постановлением Правительства РФ от 16.09.2020 № 1479;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2"/>
        </w:numPr>
        <w:ind w:left="0" w:firstLine="709"/>
        <w:jc w:val="both"/>
        <w:spacing w:after="0" w:line="233" w:lineRule="auto"/>
        <w:shd w:val="clear" w:color="auto" w:fill="ffff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Технический регламент о требованиях пожарной безопасности. №123-ФЗ от 22.07.2008;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2"/>
        </w:numPr>
        <w:ind w:left="0"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12.1.004-91* Система стандартов безопасности труда. Пожарная безопасность. Общие требования.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Ремонтная площадка должна быть оснащена средствами пожаротушения.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1.5.3. </w:t>
      </w:r>
      <w:r>
        <w:rPr>
          <w:rFonts w:ascii="Times New Roman" w:hAnsi="Times New Roman"/>
          <w:sz w:val="24"/>
          <w:szCs w:val="24"/>
          <w:highlight w:val="white"/>
        </w:rPr>
        <w:t xml:space="preserve">Соблюдение требований к охране окружающей среды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Отходы, строительный мусор должны своевременно вывозиться для дальнейшей утилизации.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Мероприятия и работы по охране окружающей среды вести в соответствии: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3"/>
        </w:numPr>
        <w:ind w:left="0"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Федеральный закон от 10.01.2002 № 7-ФЗ «Об охране окружающей среды» (ред. от 02.07.21);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3"/>
        </w:numPr>
        <w:ind w:left="0"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Федеральный закон от 04.05.1999 № 96-ФЗ «Об охране атмосферного воздуха» (ред. от 11.06.2021);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numPr>
          <w:ilvl w:val="0"/>
          <w:numId w:val="13"/>
        </w:numPr>
        <w:ind w:left="0"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Водный кодекс Российской Федерации;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64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1.5.4. </w:t>
      </w:r>
      <w:r>
        <w:rPr>
          <w:rFonts w:ascii="Times New Roman" w:hAnsi="Times New Roman"/>
          <w:sz w:val="24"/>
          <w:szCs w:val="24"/>
          <w:highlight w:val="white"/>
        </w:rPr>
        <w:t xml:space="preserve">Соблюдение требований охраны труда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33" w:lineRule="auto"/>
        <w:widowControl w:val="off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  <w:highlight w:val="white"/>
        </w:rPr>
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t xml:space="preserve"> </w:t>
      </w:r>
      <w:r/>
    </w:p>
    <w:p>
      <w:pPr>
        <w:ind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</w:rPr>
        <w:tab/>
        <w:t xml:space="preserve">Правила по охране труда при строительстве, реконструкции и ремонте (утверждены приказом Министерства труда от 11.12.2020 № 883н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Правила по охране труда при работе на высоте (утверждены приказом Министерства труда от 16.11.2020 №782н)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Правила по охране труда при работе с инструментом и приспособлениями (утверждены приказом Министерства труда от 27.11.2020 № 835н);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jc w:val="both"/>
        <w:spacing w:after="0" w:line="233" w:lineRule="auto"/>
        <w:widowControl w:val="off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Правила по охране труда при эксплуатации электроустановок, утвержденные Приказом Министерства труда и социально</w:t>
      </w:r>
      <w:r>
        <w:rPr>
          <w:rFonts w:ascii="Times New Roman" w:hAnsi="Times New Roman"/>
          <w:sz w:val="24"/>
          <w:szCs w:val="24"/>
          <w:highlight w:val="white"/>
        </w:rPr>
        <w:t xml:space="preserve">й защиты РФ от 15.12.2020 №903н;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4"/>
        </w:numPr>
        <w:contextualSpacing/>
        <w:ind w:left="0"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4"/>
        </w:numPr>
        <w:contextualSpacing/>
        <w:ind w:left="0"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  <w:highlight w:val="white"/>
        </w:rPr>
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47"/>
        <w:ind w:left="0" w:firstLine="709"/>
        <w:jc w:val="both"/>
        <w:spacing w:after="0" w:line="233" w:lineRule="auto"/>
        <w:tabs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before="159"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Требования к результатам работ.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Общие требования к результатам работ.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Состояние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у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х</w:t>
      </w:r>
      <w:r>
        <w:rPr>
          <w:rFonts w:ascii="Times New Roman" w:hAnsi="Times New Roman"/>
          <w:bCs/>
          <w:sz w:val="24"/>
          <w:szCs w:val="24"/>
        </w:rPr>
        <w:t xml:space="preserve"> помещений</w:t>
      </w:r>
      <w:r>
        <w:rPr>
          <w:rFonts w:ascii="Times New Roman" w:hAnsi="Times New Roman"/>
          <w:sz w:val="24"/>
          <w:szCs w:val="24"/>
        </w:rPr>
        <w:t xml:space="preserve"> здания </w:t>
      </w:r>
      <w:r>
        <w:rPr>
          <w:rFonts w:ascii="Times New Roman" w:hAnsi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sz w:val="24"/>
          <w:szCs w:val="24"/>
          <w:highlight w:val="white"/>
        </w:rPr>
        <w:t xml:space="preserve">осле ремонта должно соответствовать требованиям нормативно-технической документации в течение гарантийного срока.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Требования к оформлению </w:t>
      </w:r>
      <w:r>
        <w:rPr>
          <w:rFonts w:ascii="Times New Roman" w:hAnsi="Times New Roman"/>
          <w:sz w:val="24"/>
          <w:szCs w:val="24"/>
        </w:rPr>
        <w:t xml:space="preserve">и составу </w:t>
      </w:r>
      <w:r>
        <w:rPr>
          <w:rFonts w:ascii="Times New Roman" w:hAnsi="Times New Roman"/>
          <w:sz w:val="24"/>
          <w:szCs w:val="24"/>
        </w:rPr>
        <w:t xml:space="preserve">документации.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5" w:lineRule="auto"/>
        <w:shd w:val="clear" w:color="auto" w:fill="ffffff"/>
        <w:tabs>
          <w:tab w:val="left" w:pos="317" w:leader="none"/>
          <w:tab w:val="left" w:pos="1560" w:leader="none"/>
        </w:tabs>
      </w:pPr>
      <w:r>
        <w:rPr>
          <w:rFonts w:ascii="Times New Roman" w:hAnsi="Times New Roman"/>
          <w:sz w:val="24"/>
          <w:szCs w:val="24"/>
        </w:rPr>
        <w:t xml:space="preserve">Представить Заказчику</w:t>
      </w:r>
      <w:r>
        <w:rPr>
          <w:rFonts w:ascii="Times New Roman" w:hAnsi="Times New Roman"/>
          <w:sz w:val="24"/>
          <w:szCs w:val="24"/>
        </w:rPr>
        <w:t xml:space="preserve"> с актами выполненных работ (в 2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двух</w:t>
      </w:r>
      <w:r>
        <w:rPr>
          <w:rFonts w:ascii="Times New Roman" w:hAnsi="Times New Roman"/>
          <w:sz w:val="24"/>
          <w:szCs w:val="24"/>
        </w:rPr>
        <w:t xml:space="preserve">) экземплярах, а также электронные версии Акта КС-2 и Справки КС-3 в формате *</w:t>
      </w:r>
      <w:r>
        <w:rPr>
          <w:rFonts w:ascii="Times New Roman" w:hAnsi="Times New Roman"/>
          <w:sz w:val="24"/>
          <w:szCs w:val="24"/>
        </w:rPr>
        <w:t xml:space="preserve">gsfx</w:t>
      </w:r>
      <w:r>
        <w:rPr>
          <w:rFonts w:ascii="Times New Roman" w:hAnsi="Times New Roman"/>
          <w:sz w:val="24"/>
          <w:szCs w:val="24"/>
        </w:rPr>
        <w:t xml:space="preserve"> ПК «ГРАНД Смета» на цифровом носителе) исполнительную документацию в электронном виде (в формате *.</w:t>
      </w:r>
      <w:r>
        <w:rPr>
          <w:rFonts w:ascii="Times New Roman" w:hAnsi="Times New Roman"/>
          <w:sz w:val="24"/>
          <w:szCs w:val="24"/>
        </w:rPr>
        <w:t xml:space="preserve">pdf</w:t>
      </w:r>
      <w:r>
        <w:rPr>
          <w:rFonts w:ascii="Times New Roman" w:hAnsi="Times New Roman"/>
          <w:sz w:val="24"/>
          <w:szCs w:val="24"/>
        </w:rPr>
        <w:t xml:space="preserve">) и на бумажном носителе в 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-х экземплярах. </w:t>
      </w:r>
      <w:r/>
    </w:p>
    <w:p>
      <w:pPr>
        <w:ind w:firstLine="709"/>
        <w:jc w:val="both"/>
        <w:spacing w:after="0" w:line="245" w:lineRule="auto"/>
        <w:shd w:val="clear" w:color="auto" w:fill="ffffff"/>
        <w:tabs>
          <w:tab w:val="left" w:pos="317" w:leader="none"/>
          <w:tab w:val="left" w:pos="1560" w:leader="none"/>
        </w:tabs>
      </w:pPr>
      <w:r>
        <w:rPr>
          <w:rFonts w:ascii="Times New Roman" w:hAnsi="Times New Roman" w:eastAsia="Iosevka Term SS03"/>
          <w:color w:val="000000"/>
          <w:sz w:val="24"/>
          <w:szCs w:val="24"/>
          <w:highlight w:val="white"/>
        </w:rPr>
        <w:t xml:space="preserve">Исполнительная документация должна быть оформлена в соответствии с:</w:t>
      </w:r>
      <w:r/>
    </w:p>
    <w:p>
      <w:pPr>
        <w:pStyle w:val="747"/>
        <w:numPr>
          <w:ilvl w:val="0"/>
          <w:numId w:val="15"/>
        </w:numPr>
        <w:ind w:left="0" w:firstLine="709"/>
        <w:jc w:val="both"/>
        <w:spacing w:after="0" w:line="245" w:lineRule="auto"/>
        <w:shd w:val="clear" w:color="auto" w:fill="ffffff"/>
        <w:tabs>
          <w:tab w:val="left" w:pos="992" w:leader="none"/>
          <w:tab w:val="left" w:pos="1560" w:leader="none"/>
        </w:tabs>
      </w:pPr>
      <w:r>
        <w:rPr>
          <w:rFonts w:ascii="Times New Roman" w:hAnsi="Times New Roman" w:eastAsia="Iosevka Term SS03"/>
          <w:color w:val="000000"/>
          <w:sz w:val="24"/>
          <w:szCs w:val="24"/>
          <w:highlight w:val="white"/>
        </w:rPr>
        <w:t xml:space="preserve">Приказом Министерства строительства и ЖКХ №344/пр от 16.05.2023 «С</w:t>
      </w:r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остав и порядок ведения исполнительной документации при строительстве, реконструкции, капитальном ремонте объектов капитального строительства»</w:t>
      </w:r>
      <w:r>
        <w:rPr>
          <w:rFonts w:ascii="Times New Roman" w:hAnsi="Times New Roman" w:eastAsia="Iosevka Term SS03"/>
          <w:color w:val="000000"/>
          <w:sz w:val="24"/>
          <w:szCs w:val="24"/>
          <w:highlight w:val="white"/>
        </w:rPr>
        <w:t xml:space="preserve">;</w:t>
      </w:r>
      <w:r/>
    </w:p>
    <w:p>
      <w:pPr>
        <w:pStyle w:val="747"/>
        <w:numPr>
          <w:ilvl w:val="0"/>
          <w:numId w:val="15"/>
        </w:numPr>
        <w:ind w:left="0" w:firstLine="709"/>
        <w:jc w:val="both"/>
        <w:spacing w:after="0" w:line="245" w:lineRule="auto"/>
        <w:shd w:val="clear" w:color="auto" w:fill="ffffff"/>
        <w:tabs>
          <w:tab w:val="left" w:pos="992" w:leader="none"/>
          <w:tab w:val="left" w:pos="1560" w:leader="none"/>
        </w:tabs>
      </w:pPr>
      <w:r>
        <w:rPr>
          <w:rFonts w:ascii="Times New Roman" w:hAnsi="Times New Roman" w:eastAsia="Iosevka Term SS03"/>
          <w:color w:val="000000"/>
          <w:sz w:val="24"/>
          <w:szCs w:val="24"/>
          <w:highlight w:val="white"/>
        </w:rPr>
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</w:r>
      <w:r>
        <w:rPr>
          <w:rFonts w:ascii="Times New Roman" w:hAnsi="Times New Roman" w:eastAsia="Iosevka Term SS03"/>
          <w:color w:val="000000"/>
          <w:sz w:val="24"/>
          <w:szCs w:val="24"/>
        </w:rPr>
        <w:t xml:space="preserve">».</w:t>
      </w:r>
      <w:r/>
    </w:p>
    <w:p>
      <w:pPr>
        <w:ind w:firstLine="709"/>
        <w:jc w:val="both"/>
        <w:spacing w:after="0" w:line="264" w:lineRule="auto"/>
        <w:shd w:val="clear" w:color="auto" w:fill="ffffff"/>
        <w:tabs>
          <w:tab w:val="left" w:pos="992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Подрядчик обязан оформить и передать Заказчику исполнительную и сдаточную документацию в следующем составе, но не ограничиваясь:</w:t>
      </w:r>
      <w:r>
        <w:rPr>
          <w:rFonts w:ascii="Times New Roman" w:hAnsi="Times New Roman" w:eastAsia="Times New Roman"/>
          <w:sz w:val="24"/>
          <w:szCs w:val="24"/>
        </w:rPr>
        <w:t xml:space="preserve">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widowControl w:val="off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</w:rPr>
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widowControl w:val="off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</w:rPr>
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widowControl w:val="off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</w:rPr>
        <w:t xml:space="preserve">счета-фактуры на материалы, закупаемые Подрядчиком для использования в процессе ремонта;                                                                                                 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</w:rPr>
        <w:t xml:space="preserve">исполнительные чертежи;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widowControl w:val="off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</w:rPr>
        <w:t xml:space="preserve">фото/видео материалы (при необходимости)</w:t>
      </w:r>
      <w:r>
        <w:rPr>
          <w:rFonts w:ascii="Times New Roman" w:hAnsi="Times New Roman" w:eastAsia="Times New Roman"/>
          <w:sz w:val="24"/>
          <w:szCs w:val="24"/>
        </w:rPr>
        <w:t xml:space="preserve">;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widowControl w:val="off"/>
        <w:tabs>
          <w:tab w:val="left" w:pos="992" w:leader="none"/>
        </w:tabs>
      </w:pPr>
      <w:r>
        <w:rPr>
          <w:rFonts w:ascii="Times New Roman" w:hAnsi="Times New Roman"/>
          <w:sz w:val="24"/>
          <w:szCs w:val="24"/>
        </w:rPr>
        <w:t xml:space="preserve">акт освидетельствования скрытых работ;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shd w:val="clear" w:color="auto" w:fill="ffffff"/>
        <w:widowControl w:val="off"/>
        <w:tabs>
          <w:tab w:val="left" w:pos="992" w:leader="none"/>
        </w:tabs>
      </w:pPr>
      <w:r>
        <w:rPr>
          <w:rFonts w:ascii="Times New Roman" w:hAnsi="Times New Roman"/>
          <w:color w:val="000000"/>
          <w:sz w:val="24"/>
          <w:szCs w:val="24"/>
        </w:rPr>
        <w:t xml:space="preserve">ведомость (опись) объёма ремонтно-строительных работ</w:t>
      </w:r>
      <w:r>
        <w:rPr>
          <w:rFonts w:ascii="Times New Roman" w:hAnsi="Times New Roman"/>
          <w:sz w:val="24"/>
          <w:szCs w:val="24"/>
        </w:rPr>
        <w:t xml:space="preserve">;</w:t>
      </w:r>
      <w:r/>
    </w:p>
    <w:p>
      <w:pPr>
        <w:pStyle w:val="747"/>
        <w:numPr>
          <w:ilvl w:val="0"/>
          <w:numId w:val="19"/>
        </w:numPr>
        <w:ind w:left="0" w:firstLine="709"/>
        <w:jc w:val="both"/>
        <w:spacing w:after="0" w:line="264" w:lineRule="auto"/>
        <w:shd w:val="clear" w:color="auto" w:fill="ffffff"/>
        <w:widowControl w:val="off"/>
        <w:tabs>
          <w:tab w:val="left" w:pos="992" w:leader="none"/>
        </w:tabs>
      </w:pPr>
      <w:r>
        <w:rPr>
          <w:rFonts w:ascii="Times New Roman" w:hAnsi="Times New Roman"/>
          <w:color w:val="000000"/>
          <w:sz w:val="24"/>
          <w:szCs w:val="24"/>
        </w:rPr>
        <w:t xml:space="preserve">акт приёмки из ремонта</w:t>
      </w:r>
      <w:r>
        <w:rPr>
          <w:rFonts w:ascii="Times New Roman" w:hAnsi="Times New Roman"/>
          <w:sz w:val="24"/>
          <w:szCs w:val="24"/>
        </w:rPr>
        <w:t xml:space="preserve"> здания, сооружения;</w:t>
      </w:r>
      <w:r/>
    </w:p>
    <w:p>
      <w:pPr>
        <w:pStyle w:val="747"/>
        <w:numPr>
          <w:ilvl w:val="0"/>
          <w:numId w:val="18"/>
        </w:numPr>
        <w:ind w:left="0" w:firstLine="709"/>
        <w:jc w:val="both"/>
        <w:spacing w:before="60" w:line="264" w:lineRule="auto"/>
        <w:tabs>
          <w:tab w:val="left" w:pos="992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другие документы по усмотрению Сторон с учетом специфики Работ.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before="159" w:after="0" w:line="264" w:lineRule="auto"/>
        <w:tabs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  <w:t xml:space="preserve">3. Требования к оформлению и составлению документации по ценообразованию.</w:t>
      </w:r>
      <w:r/>
    </w:p>
    <w:p>
      <w:pPr>
        <w:ind w:firstLine="709"/>
        <w:jc w:val="both"/>
        <w:spacing w:after="0" w:line="264" w:lineRule="auto"/>
      </w:pPr>
      <w:r>
        <w:rPr>
          <w:rFonts w:ascii="Times New Roman" w:hAnsi="Times New Roman"/>
          <w:sz w:val="24"/>
          <w:szCs w:val="24"/>
        </w:rPr>
        <w:t xml:space="preserve">3.1.</w:t>
      </w:r>
      <w:bookmarkStart w:id="1" w:name="undefined"/>
      <w:r>
        <w:rPr>
          <w:rFonts w:ascii="Times New Roman" w:hAnsi="Times New Roman"/>
          <w:sz w:val="24"/>
          <w:szCs w:val="24"/>
        </w:rPr>
        <w:t xml:space="preserve"> Сметная документация разработана Заказчиком (Приложение №2 к Договору) в программном комплексе «Гранд-СМЕТА», согласно следующим ценовым показателям (критериям):</w:t>
      </w:r>
      <w:r/>
    </w:p>
    <w:p>
      <w:pPr>
        <w:pStyle w:val="747"/>
        <w:numPr>
          <w:ilvl w:val="0"/>
          <w:numId w:val="16"/>
        </w:numPr>
        <w:ind w:left="0" w:firstLine="709"/>
        <w:jc w:val="both"/>
        <w:spacing w:after="0" w:line="264" w:lineRule="auto"/>
        <w:tabs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ресурсно-индексным методом в базе ФСНБ-2022 (с Изм. 1-14),  с применением текущих цен на материалы по данным ФГИС ЦС (сплит-форма Хабаровский край 1 зона 2 квартал 2025 г.)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 w:line="264" w:lineRule="auto"/>
        <w:tabs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  <w:t xml:space="preserve">3.2. В Сводном сметном расчете (Приложение №2 к Договору) учтены: </w:t>
      </w:r>
      <w:r/>
    </w:p>
    <w:p>
      <w:pPr>
        <w:pStyle w:val="747"/>
        <w:numPr>
          <w:ilvl w:val="0"/>
          <w:numId w:val="17"/>
        </w:numPr>
        <w:ind w:left="0" w:firstLine="709"/>
        <w:jc w:val="both"/>
        <w:spacing w:after="0" w:line="264" w:lineRule="auto"/>
        <w:tabs>
          <w:tab w:val="left" w:pos="1134" w:leader="none"/>
        </w:tabs>
      </w:pPr>
      <w:r>
        <w:rPr>
          <w:rFonts w:ascii="Times New Roman" w:hAnsi="Times New Roman"/>
          <w:iCs/>
          <w:sz w:val="24"/>
          <w:szCs w:val="24"/>
        </w:rPr>
        <w:t xml:space="preserve">объем сметной прибыли в размере 30%</w:t>
      </w:r>
      <w:r>
        <w:rPr>
          <w:rFonts w:ascii="Times New Roman" w:hAnsi="Times New Roman"/>
          <w:iCs/>
          <w:sz w:val="24"/>
          <w:szCs w:val="24"/>
        </w:rPr>
        <w:t xml:space="preserve"> от ФОТ</w:t>
      </w:r>
      <w:r>
        <w:rPr>
          <w:rFonts w:ascii="Times New Roman" w:hAnsi="Times New Roman"/>
          <w:iCs/>
          <w:sz w:val="24"/>
          <w:szCs w:val="24"/>
        </w:rPr>
        <w:t xml:space="preserve">;</w:t>
      </w:r>
      <w:r/>
    </w:p>
    <w:p>
      <w:pPr>
        <w:pStyle w:val="747"/>
        <w:numPr>
          <w:ilvl w:val="0"/>
          <w:numId w:val="17"/>
        </w:numPr>
        <w:ind w:left="0" w:firstLine="709"/>
        <w:jc w:val="both"/>
        <w:spacing w:after="0" w:line="264" w:lineRule="auto"/>
        <w:tabs>
          <w:tab w:val="left" w:pos="1134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захоронение твердых бытовых отходов на полигоне в р-не им. </w:t>
      </w:r>
      <w:r>
        <w:rPr>
          <w:rFonts w:ascii="Times New Roman" w:hAnsi="Times New Roman"/>
          <w:sz w:val="24"/>
          <w:szCs w:val="24"/>
        </w:rPr>
        <w:t xml:space="preserve">Лазо  АО</w:t>
      </w:r>
      <w:r>
        <w:rPr>
          <w:rFonts w:ascii="Times New Roman" w:hAnsi="Times New Roman"/>
          <w:sz w:val="24"/>
          <w:szCs w:val="24"/>
        </w:rPr>
        <w:t xml:space="preserve">  "Спецавтохозяйство" </w:t>
      </w:r>
      <w:r>
        <w:rPr>
          <w:rFonts w:ascii="Times New Roman" w:hAnsi="Times New Roman"/>
          <w:sz w:val="24"/>
          <w:szCs w:val="24"/>
        </w:rPr>
        <w:t xml:space="preserve">Постановление Комитета по ценам и тарифам Правительства Хабаровского края от 04.12.2024г № 36/16 (стоимость 1006,86  руб/т без НДС)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47"/>
        <w:numPr>
          <w:ilvl w:val="0"/>
          <w:numId w:val="17"/>
        </w:numPr>
        <w:ind w:left="0" w:firstLine="709"/>
        <w:jc w:val="both"/>
        <w:spacing w:after="0" w:line="264" w:lineRule="auto"/>
        <w:tabs>
          <w:tab w:val="left" w:pos="1134" w:leader="none"/>
        </w:tabs>
      </w:pPr>
      <w:r>
        <w:rPr>
          <w:rFonts w:ascii="Times New Roman" w:hAnsi="Times New Roman"/>
          <w:iCs/>
          <w:sz w:val="24"/>
          <w:szCs w:val="24"/>
        </w:rPr>
        <w:t xml:space="preserve">сметная стоимость уменьшена на стоимость давальческих ресурсов: воды и электроэнергии;</w:t>
      </w:r>
      <w:r/>
    </w:p>
    <w:p>
      <w:pPr>
        <w:pStyle w:val="747"/>
        <w:numPr>
          <w:ilvl w:val="0"/>
          <w:numId w:val="16"/>
        </w:numPr>
        <w:ind w:left="0" w:firstLine="709"/>
        <w:jc w:val="both"/>
        <w:spacing w:after="0" w:line="264" w:lineRule="auto"/>
        <w:tabs>
          <w:tab w:val="left" w:pos="1134" w:leader="none"/>
        </w:tabs>
      </w:pPr>
      <w:r>
        <w:rPr>
          <w:rFonts w:ascii="Times New Roman" w:hAnsi="Times New Roman"/>
          <w:iCs/>
          <w:sz w:val="24"/>
          <w:szCs w:val="24"/>
        </w:rPr>
        <w:t xml:space="preserve">в сметную стоимость включен резерв средств на непредвиденные работы</w:t>
      </w:r>
      <w:r>
        <w:rPr>
          <w:rFonts w:ascii="Times New Roman" w:hAnsi="Times New Roman"/>
          <w:iCs/>
          <w:sz w:val="24"/>
          <w:szCs w:val="24"/>
        </w:rPr>
        <w:t xml:space="preserve"> и затраты, который составляет </w:t>
      </w:r>
      <w:r>
        <w:rPr>
          <w:rFonts w:ascii="Times New Roman" w:hAnsi="Times New Roman"/>
          <w:iCs/>
          <w:sz w:val="24"/>
          <w:szCs w:val="24"/>
        </w:rPr>
        <w:t xml:space="preserve">2 % сметной стоимости работ. </w:t>
      </w:r>
      <w:r/>
    </w:p>
    <w:p>
      <w:pPr>
        <w:ind w:firstLine="709"/>
        <w:jc w:val="both"/>
        <w:spacing w:after="0" w:line="264" w:lineRule="auto"/>
        <w:tabs>
          <w:tab w:val="left" w:pos="1134" w:leader="none"/>
        </w:tabs>
      </w:pPr>
      <w:r>
        <w:rPr>
          <w:rFonts w:ascii="Times New Roman" w:hAnsi="Times New Roman"/>
          <w:iCs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 xml:space="preserve">На стадии закрытия актов выполненных работ резерв средств на непредвиденные работы и затраты в процентах не оплачивается. Данный резерв предназначен дл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z w:val="24"/>
          <w:szCs w:val="24"/>
        </w:rPr>
        <w:t xml:space="preserve">возмещения стоимости работ и затрат, потребность в которых может возникнуть в процессе производства Работ, и подлежит оплате на основании акта на выполнение дополнительных работ и дополнительной сметы, составленной по аналогии со Сводным сметным расчетом  </w:t>
      </w:r>
      <w:r>
        <w:rPr>
          <w:rFonts w:ascii="Times New Roman" w:hAnsi="Times New Roman"/>
          <w:iCs/>
          <w:sz w:val="24"/>
          <w:szCs w:val="24"/>
        </w:rPr>
        <w:t xml:space="preserve">(Приложение №2 к Договору) и раздела 3 настоящего Технического задания. Сводный сметный расчёт предоставляется Подрядчиком на согласование Заказчику, оформленный</w:t>
      </w:r>
      <w:r>
        <w:rPr>
          <w:rFonts w:ascii="Times New Roman" w:hAnsi="Times New Roman"/>
          <w:sz w:val="24"/>
          <w:szCs w:val="24"/>
        </w:rPr>
        <w:t xml:space="preserve"> по элементам затрат с полной нормативной расшифровкой всех статей затрат на электронном носителе в формате </w:t>
      </w:r>
      <w:r>
        <w:rPr>
          <w:rFonts w:ascii="Times New Roman" w:hAnsi="Times New Roman"/>
          <w:sz w:val="24"/>
          <w:szCs w:val="24"/>
        </w:rPr>
        <w:t xml:space="preserve">gsf</w:t>
      </w:r>
      <w:r>
        <w:rPr>
          <w:rFonts w:ascii="Times New Roman" w:hAnsi="Times New Roman"/>
          <w:sz w:val="24"/>
          <w:szCs w:val="24"/>
        </w:rPr>
        <w:t xml:space="preserve"> программы «ГРАНД-СМЕТА» и на бумажном носителе в формате </w:t>
      </w:r>
      <w:r>
        <w:rPr>
          <w:rFonts w:ascii="Times New Roman" w:hAnsi="Times New Roman"/>
          <w:sz w:val="24"/>
          <w:szCs w:val="24"/>
        </w:rPr>
        <w:t xml:space="preserve">xls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728"/>
        <w:ind w:firstLine="709"/>
        <w:jc w:val="both"/>
        <w:spacing w:before="0"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Материалы, приобретаемые Подрядчиком в рамках непре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двиденных расходов, подлежат оплате на основании платёжных документов (счет-фактура, накладная, платежное поручение банка и др.) по нормативному расходу. Материалы, учтённые в расценках по сборникам ФССЦ, подтверждать платёжными документами не требуется. 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рименяемые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материалы должны иметь соответствующие сертификаты, технические паспорта и другие документы, подтверждающие их качество.</w:t>
      </w:r>
      <w:bookmarkEnd w:id="1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</w:pPr>
      <w:r>
        <w:rPr>
          <w:rFonts w:ascii="Times New Roman" w:hAnsi="Times New Roman" w:eastAsia="Arial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Приложение:</w:t>
      </w:r>
      <w:r/>
    </w:p>
    <w:p>
      <w:pPr>
        <w:ind w:left="709"/>
        <w:spacing w:after="0" w:line="264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Приложения</w:t>
      </w:r>
      <w:r>
        <w:rPr>
          <w:rFonts w:ascii="Times New Roman" w:hAnsi="Times New Roman"/>
          <w:bCs/>
          <w:sz w:val="24"/>
          <w:szCs w:val="24"/>
        </w:rPr>
        <w:t xml:space="preserve"> № 1.1.-1.11. – Ведомости объемов работ.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09"/>
        <w:jc w:val="both"/>
        <w:spacing w:after="0" w:line="264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5386"/>
        <w:gridCol w:w="4394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АО «ДГК»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_______________ / Е.Н. Авдеев /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Генеральный директор АО «ХРМК»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_______________ / А.В. </w:t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Катенев</w:t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 /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964" w:right="850" w:bottom="964" w:left="1417" w:header="709" w:footer="709" w:gutter="0"/>
      <w:pgNumType w:start="2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Iosevka Term SS03">
    <w:panose1 w:val="020005090300000000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right"/>
    </w:pPr>
    <w:r/>
    <w:r/>
  </w:p>
  <w:p>
    <w:pPr>
      <w:pStyle w:val="7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2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pStyle w:val="919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2"/>
  </w:num>
  <w:num w:numId="5">
    <w:abstractNumId w:val="10"/>
  </w:num>
  <w:num w:numId="6">
    <w:abstractNumId w:val="1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1"/>
  </w:num>
  <w:num w:numId="18">
    <w:abstractNumId w:val="5"/>
  </w:num>
  <w:num w:numId="19">
    <w:abstractNumId w:val="16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735"/>
    <w:link w:val="726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735"/>
    <w:link w:val="727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735"/>
    <w:link w:val="728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735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14">
    <w:name w:val="Heading 5 Char"/>
    <w:basedOn w:val="735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715">
    <w:name w:val="Heading 6 Char"/>
    <w:basedOn w:val="735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16">
    <w:name w:val="Heading 7 Char"/>
    <w:basedOn w:val="735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8 Char"/>
    <w:basedOn w:val="735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18">
    <w:name w:val="Heading 9 Char"/>
    <w:basedOn w:val="73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character" w:styleId="719">
    <w:name w:val="Title Char"/>
    <w:basedOn w:val="735"/>
    <w:link w:val="749"/>
    <w:uiPriority w:val="10"/>
    <w:rPr>
      <w:sz w:val="48"/>
      <w:szCs w:val="48"/>
    </w:rPr>
  </w:style>
  <w:style w:type="character" w:styleId="720">
    <w:name w:val="Subtitle Char"/>
    <w:basedOn w:val="735"/>
    <w:link w:val="751"/>
    <w:uiPriority w:val="11"/>
    <w:rPr>
      <w:sz w:val="24"/>
      <w:szCs w:val="24"/>
    </w:rPr>
  </w:style>
  <w:style w:type="character" w:styleId="721">
    <w:name w:val="Quote Char"/>
    <w:link w:val="753"/>
    <w:uiPriority w:val="29"/>
    <w:rPr>
      <w:i/>
    </w:rPr>
  </w:style>
  <w:style w:type="character" w:styleId="722">
    <w:name w:val="Intense Quote Char"/>
    <w:link w:val="755"/>
    <w:uiPriority w:val="30"/>
    <w:rPr>
      <w:i/>
    </w:rPr>
  </w:style>
  <w:style w:type="character" w:styleId="723">
    <w:name w:val="Footnote Text Char"/>
    <w:link w:val="890"/>
    <w:uiPriority w:val="99"/>
    <w:rPr>
      <w:sz w:val="18"/>
    </w:rPr>
  </w:style>
  <w:style w:type="character" w:styleId="724">
    <w:name w:val="Endnote Text Char"/>
    <w:link w:val="893"/>
    <w:uiPriority w:val="99"/>
    <w:rPr>
      <w:sz w:val="20"/>
    </w:rPr>
  </w:style>
  <w:style w:type="paragraph" w:styleId="725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726">
    <w:name w:val="Heading 1"/>
    <w:basedOn w:val="725"/>
    <w:next w:val="725"/>
    <w:link w:val="73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7">
    <w:name w:val="Heading 2"/>
    <w:basedOn w:val="725"/>
    <w:next w:val="725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8">
    <w:name w:val="Heading 3"/>
    <w:basedOn w:val="725"/>
    <w:next w:val="725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9">
    <w:name w:val="Heading 4"/>
    <w:basedOn w:val="725"/>
    <w:next w:val="725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725"/>
    <w:next w:val="725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1">
    <w:name w:val="Heading 6"/>
    <w:basedOn w:val="725"/>
    <w:next w:val="725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2">
    <w:name w:val="Heading 7"/>
    <w:basedOn w:val="725"/>
    <w:next w:val="725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3">
    <w:name w:val="Heading 8"/>
    <w:basedOn w:val="725"/>
    <w:next w:val="725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4">
    <w:name w:val="Heading 9"/>
    <w:basedOn w:val="725"/>
    <w:next w:val="725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 w:default="1">
    <w:name w:val="Default Paragraph Font"/>
    <w:uiPriority w:val="1"/>
    <w:semiHidden/>
    <w:unhideWhenUsed/>
  </w:style>
  <w:style w:type="table" w:styleId="7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7" w:default="1">
    <w:name w:val="No List"/>
    <w:uiPriority w:val="99"/>
    <w:semiHidden/>
    <w:unhideWhenUsed/>
  </w:style>
  <w:style w:type="character" w:styleId="738" w:customStyle="1">
    <w:name w:val="Заголовок 1 Знак"/>
    <w:link w:val="726"/>
    <w:uiPriority w:val="9"/>
    <w:rPr>
      <w:rFonts w:ascii="Arial" w:hAnsi="Arial" w:eastAsia="Arial" w:cs="Arial"/>
      <w:sz w:val="40"/>
      <w:szCs w:val="40"/>
    </w:rPr>
  </w:style>
  <w:style w:type="character" w:styleId="739" w:customStyle="1">
    <w:name w:val="Заголовок 2 Знак"/>
    <w:link w:val="727"/>
    <w:uiPriority w:val="9"/>
    <w:rPr>
      <w:rFonts w:ascii="Arial" w:hAnsi="Arial" w:eastAsia="Arial" w:cs="Arial"/>
      <w:sz w:val="34"/>
    </w:rPr>
  </w:style>
  <w:style w:type="character" w:styleId="740" w:customStyle="1">
    <w:name w:val="Заголовок 3 Знак"/>
    <w:link w:val="728"/>
    <w:uiPriority w:val="9"/>
    <w:rPr>
      <w:rFonts w:ascii="Arial" w:hAnsi="Arial" w:eastAsia="Arial" w:cs="Arial"/>
      <w:sz w:val="30"/>
      <w:szCs w:val="30"/>
    </w:rPr>
  </w:style>
  <w:style w:type="character" w:styleId="741" w:customStyle="1">
    <w:name w:val="Заголовок 4 Знак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Заголовок 5 Знак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Заголовок 6 Знак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Заголовок 7 Знак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Заголовок 8 Знак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Заголовок 9 Знак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725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widowControl w:val="off"/>
    </w:pPr>
    <w:rPr>
      <w:rFonts w:ascii="Times New Roman" w:hAnsi="Times New Roman" w:eastAsia="Times New Roman"/>
    </w:rPr>
  </w:style>
  <w:style w:type="paragraph" w:styleId="749">
    <w:name w:val="Title"/>
    <w:basedOn w:val="725"/>
    <w:next w:val="725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 w:customStyle="1">
    <w:name w:val="Заголовок Знак"/>
    <w:link w:val="749"/>
    <w:uiPriority w:val="10"/>
    <w:rPr>
      <w:sz w:val="48"/>
      <w:szCs w:val="48"/>
    </w:rPr>
  </w:style>
  <w:style w:type="paragraph" w:styleId="751">
    <w:name w:val="Subtitle"/>
    <w:basedOn w:val="725"/>
    <w:next w:val="725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 w:customStyle="1">
    <w:name w:val="Подзаголовок Знак"/>
    <w:link w:val="751"/>
    <w:uiPriority w:val="11"/>
    <w:rPr>
      <w:sz w:val="24"/>
      <w:szCs w:val="24"/>
    </w:rPr>
  </w:style>
  <w:style w:type="paragraph" w:styleId="753">
    <w:name w:val="Quote"/>
    <w:basedOn w:val="725"/>
    <w:next w:val="725"/>
    <w:link w:val="754"/>
    <w:uiPriority w:val="29"/>
    <w:qFormat/>
    <w:pPr>
      <w:ind w:left="720" w:right="720"/>
    </w:pPr>
    <w:rPr>
      <w:i/>
    </w:rPr>
  </w:style>
  <w:style w:type="character" w:styleId="754" w:customStyle="1">
    <w:name w:val="Цитата 2 Знак"/>
    <w:link w:val="753"/>
    <w:uiPriority w:val="29"/>
    <w:rPr>
      <w:i/>
    </w:rPr>
  </w:style>
  <w:style w:type="paragraph" w:styleId="755">
    <w:name w:val="Intense Quote"/>
    <w:basedOn w:val="725"/>
    <w:next w:val="725"/>
    <w:link w:val="75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 w:customStyle="1">
    <w:name w:val="Выделенная цитата Знак"/>
    <w:link w:val="755"/>
    <w:uiPriority w:val="30"/>
    <w:rPr>
      <w:i/>
    </w:rPr>
  </w:style>
  <w:style w:type="paragraph" w:styleId="757">
    <w:name w:val="Header"/>
    <w:basedOn w:val="725"/>
    <w:link w:val="90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8" w:customStyle="1">
    <w:name w:val="Header Char"/>
    <w:uiPriority w:val="99"/>
  </w:style>
  <w:style w:type="paragraph" w:styleId="759">
    <w:name w:val="Footer"/>
    <w:basedOn w:val="725"/>
    <w:link w:val="90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Footer Char"/>
    <w:uiPriority w:val="99"/>
  </w:style>
  <w:style w:type="paragraph" w:styleId="761">
    <w:name w:val="Caption"/>
    <w:basedOn w:val="725"/>
    <w:next w:val="725"/>
    <w:link w:val="76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2" w:customStyle="1">
    <w:name w:val="Caption Char"/>
    <w:uiPriority w:val="99"/>
  </w:style>
  <w:style w:type="table" w:styleId="76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9">
    <w:name w:val="Hyperlink"/>
    <w:uiPriority w:val="99"/>
    <w:unhideWhenUsed/>
    <w:rPr>
      <w:color w:val="0000ff"/>
      <w:u w:val="single"/>
    </w:rPr>
  </w:style>
  <w:style w:type="paragraph" w:styleId="890">
    <w:name w:val="footnote text"/>
    <w:basedOn w:val="72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72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725"/>
    <w:next w:val="725"/>
    <w:uiPriority w:val="39"/>
    <w:unhideWhenUsed/>
    <w:pPr>
      <w:spacing w:after="57"/>
    </w:pPr>
  </w:style>
  <w:style w:type="paragraph" w:styleId="897">
    <w:name w:val="toc 2"/>
    <w:basedOn w:val="725"/>
    <w:next w:val="725"/>
    <w:uiPriority w:val="39"/>
    <w:unhideWhenUsed/>
    <w:pPr>
      <w:ind w:left="283"/>
      <w:spacing w:after="57"/>
    </w:pPr>
  </w:style>
  <w:style w:type="paragraph" w:styleId="898">
    <w:name w:val="toc 3"/>
    <w:basedOn w:val="725"/>
    <w:next w:val="725"/>
    <w:uiPriority w:val="39"/>
    <w:unhideWhenUsed/>
    <w:pPr>
      <w:ind w:left="567"/>
      <w:spacing w:after="57"/>
    </w:pPr>
  </w:style>
  <w:style w:type="paragraph" w:styleId="899">
    <w:name w:val="toc 4"/>
    <w:basedOn w:val="725"/>
    <w:next w:val="725"/>
    <w:uiPriority w:val="39"/>
    <w:unhideWhenUsed/>
    <w:pPr>
      <w:ind w:left="850"/>
      <w:spacing w:after="57"/>
    </w:pPr>
  </w:style>
  <w:style w:type="paragraph" w:styleId="900">
    <w:name w:val="toc 5"/>
    <w:basedOn w:val="725"/>
    <w:next w:val="725"/>
    <w:uiPriority w:val="39"/>
    <w:unhideWhenUsed/>
    <w:pPr>
      <w:ind w:left="1134"/>
      <w:spacing w:after="57"/>
    </w:pPr>
  </w:style>
  <w:style w:type="paragraph" w:styleId="901">
    <w:name w:val="toc 6"/>
    <w:basedOn w:val="725"/>
    <w:next w:val="725"/>
    <w:uiPriority w:val="39"/>
    <w:unhideWhenUsed/>
    <w:pPr>
      <w:ind w:left="1417"/>
      <w:spacing w:after="57"/>
    </w:pPr>
  </w:style>
  <w:style w:type="paragraph" w:styleId="902">
    <w:name w:val="toc 7"/>
    <w:basedOn w:val="725"/>
    <w:next w:val="725"/>
    <w:uiPriority w:val="39"/>
    <w:unhideWhenUsed/>
    <w:pPr>
      <w:ind w:left="1701"/>
      <w:spacing w:after="57"/>
    </w:pPr>
  </w:style>
  <w:style w:type="paragraph" w:styleId="903">
    <w:name w:val="toc 8"/>
    <w:basedOn w:val="725"/>
    <w:next w:val="725"/>
    <w:uiPriority w:val="39"/>
    <w:unhideWhenUsed/>
    <w:pPr>
      <w:ind w:left="1984"/>
      <w:spacing w:after="57"/>
    </w:pPr>
  </w:style>
  <w:style w:type="paragraph" w:styleId="904">
    <w:name w:val="toc 9"/>
    <w:basedOn w:val="725"/>
    <w:next w:val="72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  <w:rPr>
      <w:lang w:eastAsia="zh-CN"/>
    </w:rPr>
  </w:style>
  <w:style w:type="paragraph" w:styleId="906">
    <w:name w:val="table of figures"/>
    <w:basedOn w:val="725"/>
    <w:next w:val="725"/>
    <w:uiPriority w:val="99"/>
    <w:unhideWhenUsed/>
    <w:pPr>
      <w:spacing w:after="0"/>
    </w:pPr>
  </w:style>
  <w:style w:type="character" w:styleId="907" w:customStyle="1">
    <w:name w:val="Верхний колонтитул Знак"/>
    <w:basedOn w:val="735"/>
    <w:link w:val="757"/>
    <w:uiPriority w:val="99"/>
  </w:style>
  <w:style w:type="character" w:styleId="908" w:customStyle="1">
    <w:name w:val="Нижний колонтитул Знак"/>
    <w:basedOn w:val="735"/>
    <w:link w:val="759"/>
    <w:uiPriority w:val="99"/>
  </w:style>
  <w:style w:type="character" w:styleId="909">
    <w:name w:val="annotation reference"/>
    <w:uiPriority w:val="99"/>
    <w:semiHidden/>
    <w:unhideWhenUsed/>
    <w:rPr>
      <w:sz w:val="16"/>
      <w:szCs w:val="16"/>
    </w:rPr>
  </w:style>
  <w:style w:type="paragraph" w:styleId="910">
    <w:name w:val="annotation text"/>
    <w:basedOn w:val="725"/>
    <w:link w:val="91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1" w:customStyle="1">
    <w:name w:val="Текст примечания Знак"/>
    <w:link w:val="910"/>
    <w:uiPriority w:val="99"/>
    <w:semiHidden/>
    <w:rPr>
      <w:sz w:val="20"/>
      <w:szCs w:val="20"/>
    </w:rPr>
  </w:style>
  <w:style w:type="paragraph" w:styleId="912">
    <w:name w:val="annotation subject"/>
    <w:basedOn w:val="910"/>
    <w:next w:val="910"/>
    <w:link w:val="913"/>
    <w:uiPriority w:val="99"/>
    <w:semiHidden/>
    <w:unhideWhenUsed/>
    <w:rPr>
      <w:b/>
      <w:bCs/>
    </w:rPr>
  </w:style>
  <w:style w:type="character" w:styleId="913" w:customStyle="1">
    <w:name w:val="Тема примечания Знак"/>
    <w:link w:val="912"/>
    <w:uiPriority w:val="99"/>
    <w:semiHidden/>
    <w:rPr>
      <w:b/>
      <w:bCs/>
      <w:sz w:val="20"/>
      <w:szCs w:val="20"/>
    </w:rPr>
  </w:style>
  <w:style w:type="paragraph" w:styleId="914">
    <w:name w:val="Revision"/>
    <w:hidden/>
    <w:uiPriority w:val="99"/>
    <w:semiHidden/>
    <w:rPr>
      <w:sz w:val="22"/>
      <w:szCs w:val="22"/>
      <w:lang w:eastAsia="en-US"/>
    </w:rPr>
  </w:style>
  <w:style w:type="paragraph" w:styleId="915">
    <w:name w:val="Balloon Text"/>
    <w:basedOn w:val="725"/>
    <w:link w:val="91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6" w:customStyle="1">
    <w:name w:val="Текст выноски Знак"/>
    <w:link w:val="915"/>
    <w:uiPriority w:val="99"/>
    <w:semiHidden/>
    <w:rPr>
      <w:rFonts w:ascii="Tahoma" w:hAnsi="Tahoma" w:cs="Tahoma"/>
      <w:sz w:val="16"/>
      <w:szCs w:val="16"/>
    </w:rPr>
  </w:style>
  <w:style w:type="paragraph" w:styleId="917">
    <w:name w:val="Body Text"/>
    <w:basedOn w:val="725"/>
    <w:link w:val="918"/>
    <w:semiHidden/>
    <w:unhideWhenUsed/>
    <w:pPr>
      <w:spacing w:after="12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918" w:customStyle="1">
    <w:name w:val="Основной текст Знак"/>
    <w:link w:val="917"/>
    <w:semiHidden/>
    <w:rPr>
      <w:rFonts w:ascii="Times New Roman" w:hAnsi="Times New Roman" w:eastAsia="Times New Roman"/>
    </w:rPr>
  </w:style>
  <w:style w:type="paragraph" w:styleId="919">
    <w:name w:val="List Bullet 4"/>
    <w:basedOn w:val="725"/>
    <w:pPr>
      <w:numPr>
        <w:ilvl w:val="0"/>
        <w:numId w:val="1"/>
      </w:num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920" w:customStyle="1">
    <w:name w:val="Знак Знак Знак2 Знак1 Знак Знак Знак Знак"/>
    <w:basedOn w:val="725"/>
    <w:pPr>
      <w:spacing w:before="100" w:beforeAutospacing="1" w:after="100" w:afterAutospacing="1" w:line="240" w:lineRule="auto"/>
    </w:pPr>
    <w:rPr>
      <w:rFonts w:ascii="Tahoma" w:hAnsi="Tahoma" w:eastAsia="Times New Roman"/>
      <w:sz w:val="20"/>
      <w:szCs w:val="20"/>
      <w:lang w:val="en-US"/>
    </w:rPr>
  </w:style>
  <w:style w:type="paragraph" w:styleId="921" w:customStyle="1">
    <w:name w:val="Абзац списка;Table-Normal;RSHB_Table-Normal;Заголовок_3;Подпись рисунка;Алроса_маркер (Уровень 4);Маркер;ПАРАГРАФ;Абзац списка2"/>
    <w:uiPriority w:val="34"/>
    <w:qFormat/>
    <w:pPr>
      <w:contextualSpacing/>
      <w:ind w:left="720"/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22" w:customStyle="1">
    <w:name w:val="Абзац списка;Table-Normal;RSHB_Table-Normal;Заголовок_3;Подпись рисунка;Алроса_маркер (Уровень 4);Маркер;ПАРАГРАФ;Абзац списка2"/>
    <w:pPr>
      <w:contextualSpacing/>
      <w:ind w:left="720"/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2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character" w:styleId="924" w:customStyle="1">
    <w:name w:val="Знак примечания1"/>
    <w:uiPriority w:val="99"/>
    <w:semiHidden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Виногорова Наталья Олеговна</dc:creator>
  <cp:lastModifiedBy>chunarev_dn</cp:lastModifiedBy>
  <cp:revision>103</cp:revision>
  <dcterms:created xsi:type="dcterms:W3CDTF">2022-12-05T05:08:00Z</dcterms:created>
  <dcterms:modified xsi:type="dcterms:W3CDTF">2025-07-23T05:49:06Z</dcterms:modified>
  <cp:version>1048576</cp:version>
</cp:coreProperties>
</file>